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90B3" w14:textId="77777777" w:rsidR="004C05FD" w:rsidRPr="005B00DF" w:rsidRDefault="004C05FD" w:rsidP="004C05FD">
      <w:pPr>
        <w:shd w:val="clear" w:color="auto" w:fill="00276B"/>
        <w:spacing w:before="300" w:after="150" w:line="396" w:lineRule="atLeast"/>
        <w:jc w:val="center"/>
        <w:outlineLvl w:val="0"/>
        <w:rPr>
          <w:rFonts w:ascii="Arial" w:eastAsia="Times New Roman" w:hAnsi="Arial" w:cs="Arial"/>
          <w:b/>
          <w:bCs/>
          <w:color w:val="FFFFFF"/>
          <w:spacing w:val="15"/>
          <w:kern w:val="36"/>
          <w:sz w:val="32"/>
          <w:szCs w:val="32"/>
        </w:rPr>
      </w:pPr>
      <w:r w:rsidRPr="005B00DF">
        <w:rPr>
          <w:rFonts w:ascii="Arial" w:eastAsia="Times New Roman" w:hAnsi="Arial" w:cs="Arial"/>
          <w:b/>
          <w:bCs/>
          <w:color w:val="FFFFFF"/>
          <w:spacing w:val="15"/>
          <w:kern w:val="36"/>
          <w:sz w:val="32"/>
          <w:szCs w:val="32"/>
        </w:rPr>
        <w:t>CARES Act Provider Relief Fund Payment Portal User Guide</w:t>
      </w:r>
    </w:p>
    <w:p w14:paraId="2E550868" w14:textId="65353ACE" w:rsidR="004C05FD" w:rsidRDefault="004C05FD" w:rsidP="004C05FD">
      <w:pPr>
        <w:jc w:val="both"/>
      </w:pPr>
      <w:hyperlink r:id="rId5" w:history="1">
        <w:r w:rsidRPr="00BF059A">
          <w:rPr>
            <w:rStyle w:val="Hyperlink"/>
          </w:rPr>
          <w:t>https://chameleoncloud.io/review/3016-5ec70</w:t>
        </w:r>
        <w:r w:rsidRPr="00BF059A">
          <w:rPr>
            <w:rStyle w:val="Hyperlink"/>
          </w:rPr>
          <w:t>4</w:t>
        </w:r>
        <w:r w:rsidRPr="00BF059A">
          <w:rPr>
            <w:rStyle w:val="Hyperlink"/>
          </w:rPr>
          <w:t>315a620/prod</w:t>
        </w:r>
      </w:hyperlink>
    </w:p>
    <w:p w14:paraId="461DE1C1" w14:textId="77777777" w:rsidR="004C05FD" w:rsidRDefault="004C05FD" w:rsidP="004C05FD">
      <w:pPr>
        <w:jc w:val="both"/>
      </w:pPr>
    </w:p>
    <w:p w14:paraId="1224377B" w14:textId="77777777" w:rsidR="004C05FD" w:rsidRDefault="004C05FD" w:rsidP="004C05FD">
      <w:pPr>
        <w:pStyle w:val="NoSpacing"/>
        <w:ind w:left="720"/>
        <w:rPr>
          <w:rFonts w:ascii="Arial" w:hAnsi="Arial" w:cs="Arial"/>
        </w:rPr>
      </w:pPr>
    </w:p>
    <w:p w14:paraId="280EF1C5" w14:textId="1EE35442" w:rsidR="004C05FD" w:rsidRPr="004C05FD" w:rsidRDefault="004C05FD" w:rsidP="004C05F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>Sign In in the portal with your OPTUM ID.</w:t>
      </w:r>
    </w:p>
    <w:p w14:paraId="605DD819" w14:textId="1835EE83" w:rsidR="004C05FD" w:rsidRPr="004C05FD" w:rsidRDefault="004C05FD" w:rsidP="004C05F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 xml:space="preserve">ENTER YOUR TIN in the PORTAL! It indicates that “recognized TINs” will be automatically validated so </w:t>
      </w:r>
      <w:proofErr w:type="gramStart"/>
      <w:r w:rsidRPr="004C05FD">
        <w:rPr>
          <w:rFonts w:ascii="Arial" w:hAnsi="Arial" w:cs="Arial"/>
        </w:rPr>
        <w:t>it would seem that once</w:t>
      </w:r>
      <w:proofErr w:type="gramEnd"/>
      <w:r w:rsidRPr="004C05FD">
        <w:rPr>
          <w:rFonts w:ascii="Arial" w:hAnsi="Arial" w:cs="Arial"/>
        </w:rPr>
        <w:t xml:space="preserve"> you enter your TIN you should be able to immediately access the application. However, the instruction guide says that validation may take up to 1 or 2 days. </w:t>
      </w:r>
    </w:p>
    <w:p w14:paraId="0B382681" w14:textId="680BC85E" w:rsidR="004C05FD" w:rsidRPr="004C05FD" w:rsidRDefault="004C05FD" w:rsidP="004C05F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>The provider will receive an email from HRSA CARES Act Provider Relief via DocuSign. The subject line will be: “Email Validation: CARES Act Provider Relief Fund”. The provider should copy the Signing Validation Code and paste it into the Authentication Page in their web browser.</w:t>
      </w:r>
    </w:p>
    <w:p w14:paraId="0429DA2A" w14:textId="2712A181" w:rsidR="004C05FD" w:rsidRPr="004C05FD" w:rsidRDefault="004C05FD" w:rsidP="004C05F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>The provider will be redirected to the Authentication page where they will enter the access code that they received in their email.</w:t>
      </w:r>
    </w:p>
    <w:p w14:paraId="54A332AE" w14:textId="07C58EAC" w:rsidR="004C05FD" w:rsidRDefault="004C05FD" w:rsidP="004C05F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 xml:space="preserve">The provider should keep this browser open, go check their email, then come back to this page to enter the access code and click Validate. </w:t>
      </w:r>
    </w:p>
    <w:p w14:paraId="40FF1B20" w14:textId="58AA981C" w:rsidR="004C05FD" w:rsidRDefault="004C05FD" w:rsidP="004C05F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should take you back to your ORGANIZATION TIN DASHBOARD.</w:t>
      </w:r>
    </w:p>
    <w:p w14:paraId="5776CCB1" w14:textId="77777777" w:rsidR="004C05FD" w:rsidRPr="004C05FD" w:rsidRDefault="004C05FD" w:rsidP="004C05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>In the REVENUE AND TAX INFORMATION screen, click on “SUBMIT NEW INFORMATION” Operating revenues and expenses from patient care.</w:t>
      </w:r>
    </w:p>
    <w:p w14:paraId="13DC2A9C" w14:textId="495533A2" w:rsidR="004C05FD" w:rsidRPr="004C05FD" w:rsidRDefault="004C05FD" w:rsidP="004C05F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 xml:space="preserve">The application will </w:t>
      </w:r>
      <w:proofErr w:type="gramStart"/>
      <w:r w:rsidRPr="004C05FD">
        <w:rPr>
          <w:rFonts w:ascii="Arial" w:hAnsi="Arial" w:cs="Arial"/>
        </w:rPr>
        <w:t>open</w:t>
      </w:r>
      <w:proofErr w:type="gramEnd"/>
      <w:r w:rsidRPr="004C05FD">
        <w:rPr>
          <w:rFonts w:ascii="Arial" w:hAnsi="Arial" w:cs="Arial"/>
        </w:rPr>
        <w:t xml:space="preserve"> and the provider will need to select Continue in the upper righthand corner to access the document.</w:t>
      </w:r>
    </w:p>
    <w:p w14:paraId="7C8648B5" w14:textId="77777777" w:rsidR="004C05FD" w:rsidRPr="004C05FD" w:rsidRDefault="004C05FD" w:rsidP="004C05FD">
      <w:pPr>
        <w:pStyle w:val="NoSpacing"/>
        <w:rPr>
          <w:rFonts w:ascii="Arial" w:hAnsi="Arial" w:cs="Arial"/>
        </w:rPr>
      </w:pPr>
    </w:p>
    <w:p w14:paraId="005B5DA5" w14:textId="0C642AA0" w:rsidR="004C05FD" w:rsidRPr="004C05FD" w:rsidRDefault="004C05FD" w:rsidP="004C05FD">
      <w:pPr>
        <w:pStyle w:val="NoSpacing"/>
        <w:rPr>
          <w:rFonts w:ascii="Arial" w:hAnsi="Arial" w:cs="Arial"/>
          <w:b/>
          <w:bCs/>
          <w:u w:val="single"/>
        </w:rPr>
      </w:pPr>
      <w:r w:rsidRPr="004C05FD">
        <w:rPr>
          <w:rFonts w:ascii="Arial" w:hAnsi="Arial" w:cs="Arial"/>
          <w:b/>
          <w:bCs/>
          <w:u w:val="single"/>
        </w:rPr>
        <w:t xml:space="preserve">FILLING OUT THE APPLICATION </w:t>
      </w:r>
      <w:r>
        <w:rPr>
          <w:rFonts w:ascii="Arial" w:hAnsi="Arial" w:cs="Arial"/>
          <w:b/>
          <w:bCs/>
          <w:u w:val="single"/>
        </w:rPr>
        <w:t xml:space="preserve">(see </w:t>
      </w:r>
      <w:r w:rsidR="007B61FE">
        <w:rPr>
          <w:rFonts w:ascii="Arial" w:hAnsi="Arial" w:cs="Arial"/>
          <w:b/>
          <w:bCs/>
          <w:u w:val="single"/>
        </w:rPr>
        <w:t>“</w:t>
      </w:r>
      <w:r>
        <w:rPr>
          <w:rFonts w:ascii="Arial" w:hAnsi="Arial" w:cs="Arial"/>
          <w:b/>
          <w:bCs/>
          <w:u w:val="single"/>
        </w:rPr>
        <w:t>example</w:t>
      </w:r>
      <w:r w:rsidR="007B61FE">
        <w:rPr>
          <w:rFonts w:ascii="Arial" w:hAnsi="Arial" w:cs="Arial"/>
          <w:b/>
          <w:bCs/>
          <w:u w:val="single"/>
        </w:rPr>
        <w:t xml:space="preserve">s” </w:t>
      </w:r>
      <w:r>
        <w:rPr>
          <w:rFonts w:ascii="Arial" w:hAnsi="Arial" w:cs="Arial"/>
          <w:b/>
          <w:bCs/>
          <w:u w:val="single"/>
        </w:rPr>
        <w:t>of form on next</w:t>
      </w:r>
      <w:r w:rsidR="007B61FE">
        <w:rPr>
          <w:rFonts w:ascii="Arial" w:hAnsi="Arial" w:cs="Arial"/>
          <w:b/>
          <w:bCs/>
          <w:u w:val="single"/>
        </w:rPr>
        <w:t xml:space="preserve"> 2</w:t>
      </w:r>
      <w:r>
        <w:rPr>
          <w:rFonts w:ascii="Arial" w:hAnsi="Arial" w:cs="Arial"/>
          <w:b/>
          <w:bCs/>
          <w:u w:val="single"/>
        </w:rPr>
        <w:t xml:space="preserve"> page</w:t>
      </w:r>
      <w:r w:rsidR="007B61FE"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/>
          <w:bCs/>
          <w:u w:val="single"/>
        </w:rPr>
        <w:t>)</w:t>
      </w:r>
    </w:p>
    <w:p w14:paraId="4C24348B" w14:textId="53604550" w:rsidR="004C05FD" w:rsidRPr="004C05FD" w:rsidRDefault="004C05FD" w:rsidP="004C05F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 xml:space="preserve">Several fields will automatically populate on the form. This is based on information completed in previous steps of the program. They are un-editable. </w:t>
      </w:r>
    </w:p>
    <w:p w14:paraId="24009BC8" w14:textId="1B49C527" w:rsidR="004C05FD" w:rsidRPr="004C05FD" w:rsidRDefault="004C05FD" w:rsidP="004C05F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 xml:space="preserve">Applicant/Provider Type is editable in the event a change is needed. </w:t>
      </w:r>
    </w:p>
    <w:p w14:paraId="4664FD01" w14:textId="781D2602" w:rsidR="004C05FD" w:rsidRPr="004C05FD" w:rsidRDefault="004C05FD" w:rsidP="004C05F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>The provider will be required to complete all items in RED.</w:t>
      </w:r>
    </w:p>
    <w:p w14:paraId="2B4AF5CB" w14:textId="11480773" w:rsidR="004C05FD" w:rsidRPr="004C05FD" w:rsidRDefault="004C05FD" w:rsidP="004C05F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>Fields with GRAY boxes are optional.</w:t>
      </w:r>
    </w:p>
    <w:p w14:paraId="75C42BD5" w14:textId="13528FD6" w:rsidR="004C05FD" w:rsidRPr="004C05FD" w:rsidRDefault="004C05FD" w:rsidP="004C05F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 xml:space="preserve">Tooltips with additional instructions appear to the provider as they hover over each field. </w:t>
      </w:r>
    </w:p>
    <w:p w14:paraId="01D28856" w14:textId="77777777" w:rsidR="004C05FD" w:rsidRPr="004C05FD" w:rsidRDefault="004C05FD" w:rsidP="004C05F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 xml:space="preserve">Continue entering the requested information. </w:t>
      </w:r>
    </w:p>
    <w:p w14:paraId="04C50BC2" w14:textId="77777777" w:rsidR="004C05FD" w:rsidRPr="004C05FD" w:rsidRDefault="004C05FD" w:rsidP="004C05F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C05FD">
        <w:rPr>
          <w:rFonts w:ascii="Arial" w:hAnsi="Arial" w:cs="Arial"/>
        </w:rPr>
        <w:t xml:space="preserve">After the Provider enters their Account Number, a flag appears as a reminder to enter the correct routing and account numbers </w:t>
      </w:r>
      <w:proofErr w:type="gramStart"/>
      <w:r w:rsidRPr="004C05FD">
        <w:rPr>
          <w:rFonts w:ascii="Arial" w:hAnsi="Arial" w:cs="Arial"/>
        </w:rPr>
        <w:t>in order to</w:t>
      </w:r>
      <w:proofErr w:type="gramEnd"/>
      <w:r w:rsidRPr="004C05FD">
        <w:rPr>
          <w:rFonts w:ascii="Arial" w:hAnsi="Arial" w:cs="Arial"/>
        </w:rPr>
        <w:t xml:space="preserve"> receive payment. </w:t>
      </w:r>
    </w:p>
    <w:p w14:paraId="7C0891F0" w14:textId="1D6694A9" w:rsidR="007B61FE" w:rsidRPr="007B61FE" w:rsidRDefault="004C05FD" w:rsidP="007B61F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B61FE">
        <w:rPr>
          <w:rFonts w:ascii="Arial" w:hAnsi="Arial" w:cs="Arial"/>
        </w:rPr>
        <w:t>Once all actions are completed, click Finish at the end of the document or the top right of the page.</w:t>
      </w:r>
      <w:r w:rsidR="007B61FE" w:rsidRPr="007B61FE">
        <w:rPr>
          <w:rFonts w:ascii="Arial" w:hAnsi="Arial" w:cs="Arial"/>
        </w:rPr>
        <w:t xml:space="preserve"> </w:t>
      </w:r>
    </w:p>
    <w:p w14:paraId="3DFBDCD1" w14:textId="2E17DBA0" w:rsidR="007B61FE" w:rsidRPr="007B61FE" w:rsidRDefault="007B61FE" w:rsidP="007B61FE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B61FE">
        <w:rPr>
          <w:rFonts w:ascii="Arial" w:hAnsi="Arial" w:cs="Arial"/>
        </w:rPr>
        <w:t xml:space="preserve">he provider will see a pop-up that gives the option to Download or Print the completed documents. </w:t>
      </w:r>
    </w:p>
    <w:p w14:paraId="02530CC1" w14:textId="77777777" w:rsidR="007B61FE" w:rsidRPr="007B61FE" w:rsidRDefault="007B61FE" w:rsidP="007B61F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B61FE">
        <w:rPr>
          <w:rFonts w:ascii="Arial" w:hAnsi="Arial" w:cs="Arial"/>
        </w:rPr>
        <w:t xml:space="preserve">The provider should click Close to exit. </w:t>
      </w:r>
    </w:p>
    <w:p w14:paraId="471CFEE3" w14:textId="3ADF1E88" w:rsidR="007B61FE" w:rsidRDefault="007B61FE" w:rsidP="007B61F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B61FE">
        <w:rPr>
          <w:rFonts w:ascii="Arial" w:hAnsi="Arial" w:cs="Arial"/>
        </w:rPr>
        <w:t xml:space="preserve">A completed copy of the documents will appear. </w:t>
      </w:r>
    </w:p>
    <w:p w14:paraId="6C345CFA" w14:textId="77777777" w:rsidR="007B61FE" w:rsidRPr="007B61FE" w:rsidRDefault="007B61FE" w:rsidP="007B61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B61FE">
        <w:rPr>
          <w:rFonts w:ascii="Arial" w:hAnsi="Arial" w:cs="Arial"/>
        </w:rPr>
        <w:t>The provider should click Continue and will be redirected to their Organization TIN Dashboard.</w:t>
      </w:r>
    </w:p>
    <w:p w14:paraId="761C8F73" w14:textId="7664D41D" w:rsidR="007B61FE" w:rsidRPr="007B61FE" w:rsidRDefault="007B61FE" w:rsidP="007B61F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B61FE">
        <w:rPr>
          <w:rFonts w:ascii="Arial" w:hAnsi="Arial" w:cs="Arial"/>
        </w:rPr>
        <w:t xml:space="preserve">After the application is finished, a completion email will be sent. </w:t>
      </w:r>
    </w:p>
    <w:p w14:paraId="166262C1" w14:textId="77777777" w:rsidR="007B61FE" w:rsidRDefault="007B61FE" w:rsidP="007B61F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B61FE">
        <w:rPr>
          <w:rFonts w:ascii="Arial" w:hAnsi="Arial" w:cs="Arial"/>
        </w:rPr>
        <w:t xml:space="preserve">The completed application can be seen by click the </w:t>
      </w:r>
      <w:r w:rsidRPr="007B61FE">
        <w:rPr>
          <w:rFonts w:ascii="Arial" w:hAnsi="Arial" w:cs="Arial"/>
          <w:b/>
          <w:bCs/>
        </w:rPr>
        <w:t>View Completed Application</w:t>
      </w:r>
      <w:r w:rsidRPr="007B61FE">
        <w:rPr>
          <w:rFonts w:ascii="Arial" w:hAnsi="Arial" w:cs="Arial"/>
        </w:rPr>
        <w:t xml:space="preserve"> link in the email. </w:t>
      </w:r>
    </w:p>
    <w:p w14:paraId="26A4CE08" w14:textId="13D18D4D" w:rsidR="004C05FD" w:rsidRPr="004C05FD" w:rsidRDefault="004C05FD" w:rsidP="004C05FD">
      <w:pPr>
        <w:pStyle w:val="NoSpacing"/>
        <w:ind w:left="72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92686EE" wp14:editId="06134F00">
            <wp:extent cx="6076950" cy="7175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1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1F450" w14:textId="7922384A" w:rsidR="00FA5C14" w:rsidRPr="004C05FD" w:rsidRDefault="004C05FD" w:rsidP="004C05FD">
      <w:pPr>
        <w:pStyle w:val="NoSpacing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0D65D1B" wp14:editId="2ABE8FC7">
            <wp:extent cx="5543550" cy="461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C14" w:rsidRPr="004C05FD" w:rsidSect="004C0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5CEC"/>
    <w:multiLevelType w:val="hybridMultilevel"/>
    <w:tmpl w:val="3852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2740"/>
    <w:multiLevelType w:val="hybridMultilevel"/>
    <w:tmpl w:val="648CC668"/>
    <w:lvl w:ilvl="0" w:tplc="DAD6CBB4">
      <w:start w:val="6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AA7"/>
    <w:multiLevelType w:val="hybridMultilevel"/>
    <w:tmpl w:val="A984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B3B1D"/>
    <w:multiLevelType w:val="hybridMultilevel"/>
    <w:tmpl w:val="F716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5EC2"/>
    <w:multiLevelType w:val="hybridMultilevel"/>
    <w:tmpl w:val="128C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FD"/>
    <w:rsid w:val="004C05FD"/>
    <w:rsid w:val="007B61FE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39B8"/>
  <w15:chartTrackingRefBased/>
  <w15:docId w15:val="{3D4124E7-AA2E-46B2-82A5-6DBD21C6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5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5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0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5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05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hameleoncloud.io/review/3016-5ec704315a620/pr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Garrett</dc:creator>
  <cp:keywords/>
  <dc:description/>
  <cp:lastModifiedBy>Robyn Garrett</cp:lastModifiedBy>
  <cp:revision>1</cp:revision>
  <dcterms:created xsi:type="dcterms:W3CDTF">2020-10-05T12:55:00Z</dcterms:created>
  <dcterms:modified xsi:type="dcterms:W3CDTF">2020-10-05T13:18:00Z</dcterms:modified>
</cp:coreProperties>
</file>